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D3E5" w14:textId="101E7421" w:rsidR="007C1298" w:rsidRPr="00E572F9" w:rsidRDefault="007C1298" w:rsidP="008E215B">
      <w:pPr>
        <w:pStyle w:val="Header"/>
        <w:rPr>
          <w:rFonts w:eastAsia="Malgun Gothic"/>
          <w:bCs w:val="0"/>
          <w:noProof w:val="0"/>
          <w:sz w:val="24"/>
          <w:lang w:val="en-GB" w:eastAsia="ko-KR"/>
        </w:rPr>
      </w:pPr>
      <w:bookmarkStart w:id="0" w:name="OLE_LINK1"/>
      <w:bookmarkStart w:id="1" w:name="OLE_LINK2"/>
      <w:bookmarkStart w:id="2" w:name="_Ref298777854"/>
      <w:r w:rsidRPr="00EC3D19">
        <w:rPr>
          <w:noProof w:val="0"/>
          <w:sz w:val="24"/>
          <w:lang w:val="en-GB"/>
        </w:rPr>
        <w:t>3GPP T</w:t>
      </w:r>
      <w:bookmarkStart w:id="3" w:name="_Ref452454252"/>
      <w:bookmarkEnd w:id="3"/>
      <w:r w:rsidRPr="00EC3D19">
        <w:rPr>
          <w:noProof w:val="0"/>
          <w:sz w:val="24"/>
          <w:lang w:val="en-GB"/>
        </w:rPr>
        <w:t>SG-</w:t>
      </w:r>
      <w:r w:rsidRPr="00EC3D19">
        <w:rPr>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008E215B">
        <w:rPr>
          <w:noProof w:val="0"/>
          <w:sz w:val="24"/>
          <w:szCs w:val="24"/>
          <w:lang w:val="en-GB"/>
        </w:rPr>
        <w:t xml:space="preserve"> #99</w:t>
      </w:r>
      <w:r w:rsidR="004E539D">
        <w:rPr>
          <w:noProof w:val="0"/>
          <w:sz w:val="24"/>
          <w:szCs w:val="24"/>
          <w:lang w:val="en-GB"/>
        </w:rPr>
        <w:t>bis</w:t>
      </w:r>
      <w:r w:rsidR="008E215B">
        <w:rPr>
          <w:noProof w:val="0"/>
          <w:sz w:val="24"/>
          <w:lang w:val="en-GB"/>
        </w:rPr>
        <w:t xml:space="preserve"> </w:t>
      </w:r>
      <w:r w:rsidR="008E215B">
        <w:rPr>
          <w:noProof w:val="0"/>
          <w:sz w:val="24"/>
          <w:lang w:val="en-GB"/>
        </w:rPr>
        <w:tab/>
        <w:t xml:space="preserve">   </w:t>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t xml:space="preserve">   </w:t>
      </w:r>
      <w:r w:rsidR="007A6CE4" w:rsidRPr="007A6CE4">
        <w:rPr>
          <w:noProof w:val="0"/>
          <w:sz w:val="24"/>
          <w:lang w:val="en-GB" w:eastAsia="ja-JP"/>
        </w:rPr>
        <w:t>R2-1711677</w:t>
      </w:r>
    </w:p>
    <w:p w14:paraId="1EFA5266" w14:textId="3C865FAD" w:rsidR="007C64D1" w:rsidRPr="00950DB8" w:rsidRDefault="004E539D" w:rsidP="007C64D1">
      <w:pPr>
        <w:pStyle w:val="TdocHeader2"/>
        <w:rPr>
          <w:sz w:val="20"/>
        </w:rPr>
      </w:pPr>
      <w:r w:rsidRPr="004E539D">
        <w:rPr>
          <w:rFonts w:eastAsia="Malgun Gothic" w:cs="Arial"/>
          <w:bCs/>
          <w:sz w:val="24"/>
          <w:szCs w:val="18"/>
          <w:lang w:val="en-US" w:eastAsia="ko-KR"/>
        </w:rPr>
        <w:t>Prague, Czech Republic, 9th – 13th October 2017</w:t>
      </w:r>
    </w:p>
    <w:p w14:paraId="28445E69" w14:textId="77777777" w:rsidR="004E539D" w:rsidRDefault="004E539D" w:rsidP="007C64D1">
      <w:pPr>
        <w:pStyle w:val="TdocHeader2"/>
        <w:rPr>
          <w:sz w:val="24"/>
        </w:rPr>
      </w:pPr>
    </w:p>
    <w:p w14:paraId="0437C363" w14:textId="47D74379" w:rsidR="007C64D1" w:rsidRPr="00BC1BA9" w:rsidRDefault="00D0319E" w:rsidP="009B0FF4">
      <w:pPr>
        <w:pStyle w:val="TdocHeader2"/>
        <w:spacing w:after="120"/>
        <w:rPr>
          <w:sz w:val="24"/>
        </w:rPr>
      </w:pPr>
      <w:r w:rsidRPr="00BC1BA9">
        <w:rPr>
          <w:sz w:val="24"/>
        </w:rPr>
        <w:t xml:space="preserve">Source: </w:t>
      </w:r>
      <w:r w:rsidRPr="00BC1BA9">
        <w:rPr>
          <w:sz w:val="24"/>
        </w:rPr>
        <w:tab/>
        <w:t>AT&amp;T</w:t>
      </w:r>
    </w:p>
    <w:p w14:paraId="6A4F6682" w14:textId="6E51BD48" w:rsidR="007C64D1" w:rsidRPr="00BC1BA9" w:rsidRDefault="007C64D1" w:rsidP="009B0FF4">
      <w:pPr>
        <w:pStyle w:val="TdocHeader2"/>
        <w:tabs>
          <w:tab w:val="clear" w:pos="1701"/>
          <w:tab w:val="left" w:pos="1710"/>
        </w:tabs>
        <w:spacing w:after="120"/>
        <w:ind w:left="1710" w:hanging="1710"/>
        <w:jc w:val="left"/>
        <w:rPr>
          <w:sz w:val="24"/>
        </w:rPr>
      </w:pPr>
      <w:r w:rsidRPr="00BC1BA9">
        <w:rPr>
          <w:sz w:val="24"/>
        </w:rPr>
        <w:t>Title:</w:t>
      </w:r>
      <w:bookmarkStart w:id="4" w:name="Title"/>
      <w:bookmarkEnd w:id="4"/>
      <w:r w:rsidRPr="00BC1BA9">
        <w:rPr>
          <w:sz w:val="24"/>
        </w:rPr>
        <w:tab/>
      </w:r>
      <w:r w:rsidR="009F38A6" w:rsidRPr="009F38A6">
        <w:rPr>
          <w:sz w:val="24"/>
        </w:rPr>
        <w:t>Indication of</w:t>
      </w:r>
      <w:r w:rsidR="00A41BBD">
        <w:rPr>
          <w:sz w:val="24"/>
        </w:rPr>
        <w:t xml:space="preserve"> </w:t>
      </w:r>
      <w:r w:rsidR="009C26E0">
        <w:rPr>
          <w:sz w:val="24"/>
        </w:rPr>
        <w:t xml:space="preserve">UE Capability to Manage MSD Using </w:t>
      </w:r>
      <w:r w:rsidR="00E90C73">
        <w:rPr>
          <w:sz w:val="24"/>
        </w:rPr>
        <w:t xml:space="preserve">In-Device </w:t>
      </w:r>
      <w:r w:rsidR="009C26E0">
        <w:rPr>
          <w:sz w:val="24"/>
        </w:rPr>
        <w:t>Techniques</w:t>
      </w:r>
    </w:p>
    <w:p w14:paraId="031C7640" w14:textId="03E7DC92" w:rsidR="007C64D1" w:rsidRPr="00BC1BA9" w:rsidRDefault="007C64D1" w:rsidP="009B0FF4">
      <w:pPr>
        <w:pStyle w:val="TdocHeader2"/>
        <w:spacing w:after="120"/>
        <w:rPr>
          <w:sz w:val="24"/>
        </w:rPr>
      </w:pPr>
      <w:r w:rsidRPr="00BC1BA9">
        <w:rPr>
          <w:sz w:val="24"/>
        </w:rPr>
        <w:t>Agenda Item:</w:t>
      </w:r>
      <w:r w:rsidRPr="00BC1BA9">
        <w:rPr>
          <w:sz w:val="24"/>
        </w:rPr>
        <w:tab/>
      </w:r>
      <w:r w:rsidR="006F45AC" w:rsidRPr="00BC1BA9">
        <w:rPr>
          <w:bCs/>
          <w:iCs/>
          <w:sz w:val="24"/>
        </w:rPr>
        <w:t>10.</w:t>
      </w:r>
      <w:r w:rsidR="00006233">
        <w:rPr>
          <w:bCs/>
          <w:iCs/>
          <w:sz w:val="24"/>
        </w:rPr>
        <w:t>4.3.2</w:t>
      </w:r>
    </w:p>
    <w:p w14:paraId="75F133BD" w14:textId="7CCEA377" w:rsidR="007C64D1" w:rsidRPr="00BC1BA9" w:rsidRDefault="007C64D1" w:rsidP="009B0FF4">
      <w:pPr>
        <w:pStyle w:val="TdocHeader2"/>
        <w:spacing w:after="120"/>
        <w:rPr>
          <w:sz w:val="24"/>
        </w:rPr>
      </w:pPr>
      <w:r w:rsidRPr="00BC1BA9">
        <w:rPr>
          <w:sz w:val="24"/>
        </w:rPr>
        <w:t>Docum</w:t>
      </w:r>
      <w:r w:rsidR="00FB1143" w:rsidRPr="00BC1BA9">
        <w:rPr>
          <w:sz w:val="24"/>
        </w:rPr>
        <w:t>ent for:</w:t>
      </w:r>
      <w:r w:rsidR="00FB1143" w:rsidRPr="00BC1BA9">
        <w:rPr>
          <w:sz w:val="24"/>
        </w:rPr>
        <w:tab/>
        <w:t>Discussion</w:t>
      </w:r>
    </w:p>
    <w:bookmarkEnd w:id="0"/>
    <w:bookmarkEnd w:id="1"/>
    <w:bookmarkEnd w:id="2"/>
    <w:p w14:paraId="3F896029" w14:textId="22C43724" w:rsidR="00D00AE7" w:rsidRPr="00950DB8" w:rsidRDefault="00A41BBD" w:rsidP="004F14EE">
      <w:pPr>
        <w:pStyle w:val="Heading1"/>
        <w:pBdr>
          <w:top w:val="single" w:sz="12" w:space="0" w:color="auto"/>
        </w:pBdr>
      </w:pPr>
      <w:r>
        <w:t>Introduction</w:t>
      </w:r>
    </w:p>
    <w:p w14:paraId="6EAAA885" w14:textId="77777777" w:rsidR="003E25C2" w:rsidRPr="003E25C2" w:rsidRDefault="003E25C2" w:rsidP="003E25C2">
      <w:pPr>
        <w:rPr>
          <w:lang w:val="en-US" w:eastAsia="ja-JP"/>
        </w:rPr>
      </w:pPr>
      <w:r w:rsidRPr="003E25C2">
        <w:rPr>
          <w:lang w:val="en-US" w:eastAsia="ja-JP"/>
        </w:rPr>
        <w:t>Dual connectivity between LTE and NR is a key feature used by the Option 3X NSA architecture. This requires separate UL transmission on the MCG and SCG to deliver the UCI independently to each one of them.</w:t>
      </w:r>
    </w:p>
    <w:p w14:paraId="240FF949" w14:textId="77777777" w:rsidR="003E25C2" w:rsidRPr="003E25C2" w:rsidRDefault="003E25C2" w:rsidP="003E25C2">
      <w:pPr>
        <w:pStyle w:val="ListParagraph"/>
        <w:numPr>
          <w:ilvl w:val="0"/>
          <w:numId w:val="26"/>
        </w:numPr>
        <w:rPr>
          <w:lang w:eastAsia="ja-JP"/>
        </w:rPr>
      </w:pPr>
      <w:r w:rsidRPr="003E25C2">
        <w:rPr>
          <w:lang w:eastAsia="ja-JP"/>
        </w:rPr>
        <w:t>UL PUCCH on SCG and MCG delivers the HARQ ACK/NACK, CSI measurements</w:t>
      </w:r>
    </w:p>
    <w:p w14:paraId="580178CE" w14:textId="17C37BFF" w:rsidR="003E25C2" w:rsidRPr="003E25C2" w:rsidRDefault="003E25C2" w:rsidP="003E25C2">
      <w:pPr>
        <w:pStyle w:val="ListParagraph"/>
        <w:numPr>
          <w:ilvl w:val="0"/>
          <w:numId w:val="26"/>
        </w:numPr>
        <w:rPr>
          <w:lang w:eastAsia="ja-JP"/>
        </w:rPr>
      </w:pPr>
      <w:r w:rsidRPr="003E25C2">
        <w:rPr>
          <w:lang w:eastAsia="ja-JP"/>
        </w:rPr>
        <w:t>UL PUSCH on SCG and MCG allows for the UL bearer to be split.</w:t>
      </w:r>
    </w:p>
    <w:p w14:paraId="4B846DBF" w14:textId="190AB826" w:rsidR="003E25C2" w:rsidRPr="003E25C2" w:rsidRDefault="003E25C2" w:rsidP="003E25C2">
      <w:pPr>
        <w:rPr>
          <w:lang w:val="en-US" w:eastAsia="ja-JP"/>
        </w:rPr>
      </w:pPr>
      <w:r w:rsidRPr="003E25C2">
        <w:rPr>
          <w:lang w:val="en-US" w:eastAsia="ja-JP"/>
        </w:rPr>
        <w:t xml:space="preserve">In some band </w:t>
      </w:r>
      <w:r w:rsidR="001045A6" w:rsidRPr="003E25C2">
        <w:rPr>
          <w:lang w:val="en-US" w:eastAsia="ja-JP"/>
        </w:rPr>
        <w:t>combinations,</w:t>
      </w:r>
      <w:r w:rsidRPr="003E25C2">
        <w:rPr>
          <w:lang w:val="en-US" w:eastAsia="ja-JP"/>
        </w:rPr>
        <w:t xml:space="preserve"> such as NR on 3.5GHz and LTE on 2GHz there is potential issue of supporting simultaneous U</w:t>
      </w:r>
      <w:r w:rsidR="004E2B95">
        <w:rPr>
          <w:lang w:val="en-US" w:eastAsia="ja-JP"/>
        </w:rPr>
        <w:t xml:space="preserve">L on both bands due to </w:t>
      </w:r>
      <w:r w:rsidR="007833DC">
        <w:rPr>
          <w:lang w:val="en-US" w:eastAsia="ja-JP"/>
        </w:rPr>
        <w:t>MSD</w:t>
      </w:r>
      <w:r w:rsidRPr="003E25C2">
        <w:rPr>
          <w:lang w:val="en-US" w:eastAsia="ja-JP"/>
        </w:rPr>
        <w:t xml:space="preserve"> between these two bands. </w:t>
      </w:r>
    </w:p>
    <w:p w14:paraId="67955330" w14:textId="09F81056" w:rsidR="003E25C2" w:rsidRDefault="004C1AE7" w:rsidP="003E25C2">
      <w:pPr>
        <w:rPr>
          <w:lang w:val="en-US" w:eastAsia="ja-JP"/>
        </w:rPr>
      </w:pPr>
      <w:r>
        <w:rPr>
          <w:lang w:val="en-US" w:eastAsia="ja-JP"/>
        </w:rPr>
        <w:t>At RAN2#99 and RAN#77</w:t>
      </w:r>
      <w:r w:rsidR="00696DE4">
        <w:rPr>
          <w:lang w:val="en-US" w:eastAsia="ja-JP"/>
        </w:rPr>
        <w:t xml:space="preserve"> [1</w:t>
      </w:r>
      <w:r w:rsidR="00854EBD">
        <w:rPr>
          <w:lang w:val="en-US" w:eastAsia="ja-JP"/>
        </w:rPr>
        <w:t>]</w:t>
      </w:r>
      <w:r>
        <w:rPr>
          <w:lang w:val="en-US" w:eastAsia="ja-JP"/>
        </w:rPr>
        <w:t xml:space="preserve">, it was discussed that there </w:t>
      </w:r>
      <w:r w:rsidR="00A41BBD">
        <w:rPr>
          <w:lang w:val="en-US" w:eastAsia="ja-JP"/>
        </w:rPr>
        <w:t xml:space="preserve">may be a need for the UE to indicate </w:t>
      </w:r>
      <w:r w:rsidR="00DD75F9">
        <w:rPr>
          <w:lang w:val="en-US" w:eastAsia="ja-JP"/>
        </w:rPr>
        <w:t xml:space="preserve">its capability </w:t>
      </w:r>
      <w:r w:rsidR="00ED05CC">
        <w:rPr>
          <w:lang w:val="en-US" w:eastAsia="ja-JP"/>
        </w:rPr>
        <w:t xml:space="preserve">to support simultaneous UL on both the frequencies </w:t>
      </w:r>
      <w:r w:rsidR="00A41BBD">
        <w:rPr>
          <w:lang w:val="en-US" w:eastAsia="ja-JP"/>
        </w:rPr>
        <w:t>or certain band combinations</w:t>
      </w:r>
      <w:r w:rsidR="00DD75F9">
        <w:rPr>
          <w:lang w:val="en-US" w:eastAsia="ja-JP"/>
        </w:rPr>
        <w:t xml:space="preserve"> due to potential MSD</w:t>
      </w:r>
      <w:r w:rsidR="00A41BBD">
        <w:rPr>
          <w:lang w:val="en-US" w:eastAsia="ja-JP"/>
        </w:rPr>
        <w:t xml:space="preserve">. </w:t>
      </w:r>
    </w:p>
    <w:p w14:paraId="0822C535" w14:textId="5207CB26" w:rsidR="00A41BBD" w:rsidRDefault="00A41BBD" w:rsidP="003E25C2">
      <w:pPr>
        <w:rPr>
          <w:lang w:val="en-US" w:eastAsia="ja-JP"/>
        </w:rPr>
      </w:pPr>
      <w:r>
        <w:rPr>
          <w:lang w:val="en-US" w:eastAsia="ja-JP"/>
        </w:rPr>
        <w:t>In this contribution, we propose a 1-bit UE capability indication that</w:t>
      </w:r>
      <w:r w:rsidR="00F563AF">
        <w:rPr>
          <w:lang w:val="en-US" w:eastAsia="ja-JP"/>
        </w:rPr>
        <w:t xml:space="preserve"> obviates the need for indication </w:t>
      </w:r>
      <w:r w:rsidR="004B2619">
        <w:rPr>
          <w:lang w:val="en-US" w:eastAsia="ja-JP"/>
        </w:rPr>
        <w:t>of 1Tx capability</w:t>
      </w:r>
      <w:r w:rsidR="00CC744D">
        <w:rPr>
          <w:lang w:val="en-US" w:eastAsia="ja-JP"/>
        </w:rPr>
        <w:t>,</w:t>
      </w:r>
      <w:r w:rsidR="004B2619">
        <w:rPr>
          <w:lang w:val="en-US" w:eastAsia="ja-JP"/>
        </w:rPr>
        <w:t xml:space="preserve"> </w:t>
      </w:r>
      <w:r w:rsidR="00F563AF">
        <w:rPr>
          <w:lang w:val="en-US" w:eastAsia="ja-JP"/>
        </w:rPr>
        <w:t>a</w:t>
      </w:r>
      <w:r w:rsidR="000A5A52">
        <w:rPr>
          <w:lang w:val="en-US" w:eastAsia="ja-JP"/>
        </w:rPr>
        <w:t xml:space="preserve">nd </w:t>
      </w:r>
      <w:r w:rsidR="004B2619">
        <w:rPr>
          <w:lang w:val="en-US" w:eastAsia="ja-JP"/>
        </w:rPr>
        <w:t xml:space="preserve">allows UEs to retain 2Tx capability on the UL while mitigating potential MSD in band combinations </w:t>
      </w:r>
      <w:r w:rsidR="00ED05CC">
        <w:rPr>
          <w:lang w:val="en-US" w:eastAsia="ja-JP"/>
        </w:rPr>
        <w:t xml:space="preserve">and situations </w:t>
      </w:r>
      <w:r w:rsidR="004B2619">
        <w:rPr>
          <w:lang w:val="en-US" w:eastAsia="ja-JP"/>
        </w:rPr>
        <w:t>where this is a concern</w:t>
      </w:r>
      <w:r w:rsidR="000A5A52">
        <w:rPr>
          <w:lang w:val="en-US" w:eastAsia="ja-JP"/>
        </w:rPr>
        <w:t xml:space="preserve">. </w:t>
      </w:r>
    </w:p>
    <w:p w14:paraId="25E3BE86" w14:textId="5FAEC0B5" w:rsidR="00735848" w:rsidRPr="00950DB8" w:rsidRDefault="00A41BBD" w:rsidP="00735848">
      <w:pPr>
        <w:pStyle w:val="Heading1"/>
      </w:pPr>
      <w:r>
        <w:t>UE Capability Indication</w:t>
      </w:r>
    </w:p>
    <w:p w14:paraId="0EFC36A9" w14:textId="4AB3CB8D" w:rsidR="00A41BBD" w:rsidRDefault="00A41BBD" w:rsidP="00535FE4">
      <w:pPr>
        <w:rPr>
          <w:lang w:val="en-US" w:eastAsia="ja-JP"/>
        </w:rPr>
      </w:pPr>
      <w:r>
        <w:rPr>
          <w:lang w:val="en-US" w:eastAsia="ja-JP"/>
        </w:rPr>
        <w:t>At RAN2#99 and RAN#77, there were numerous discussions regarding UE indication of 1Tx capability for those band combina</w:t>
      </w:r>
      <w:r w:rsidR="0098209F">
        <w:rPr>
          <w:lang w:val="en-US" w:eastAsia="ja-JP"/>
        </w:rPr>
        <w:t xml:space="preserve">tions in </w:t>
      </w:r>
      <w:r w:rsidR="00AF16F1">
        <w:rPr>
          <w:lang w:val="en-US" w:eastAsia="ja-JP"/>
        </w:rPr>
        <w:t>MR</w:t>
      </w:r>
      <w:r>
        <w:rPr>
          <w:lang w:val="en-US" w:eastAsia="ja-JP"/>
        </w:rPr>
        <w:t xml:space="preserve">-DC operation </w:t>
      </w:r>
      <w:r w:rsidR="000A5A52">
        <w:rPr>
          <w:lang w:val="en-US" w:eastAsia="ja-JP"/>
        </w:rPr>
        <w:t>that have</w:t>
      </w:r>
      <w:r w:rsidR="00CC744D">
        <w:rPr>
          <w:lang w:val="en-US" w:eastAsia="ja-JP"/>
        </w:rPr>
        <w:t xml:space="preserve"> the potential to cause M</w:t>
      </w:r>
      <w:r>
        <w:rPr>
          <w:lang w:val="en-US" w:eastAsia="ja-JP"/>
        </w:rPr>
        <w:t xml:space="preserve">SD. We believe that blanket restriction of UE capability to 1Tx in for such band combinations is excessively restrictive and that 2Tx operation should always be the baseline for all band combinations. </w:t>
      </w:r>
      <w:r w:rsidR="00ED05CC">
        <w:rPr>
          <w:lang w:val="en-US" w:eastAsia="ja-JP"/>
        </w:rPr>
        <w:t xml:space="preserve">Especially given the fact that MSD issues are often restriction only some portions of the band restricting the UE to a 1Tx in the UL is unnecessary and leaves potential performance benefits out of scope which operators do not want to compromise on. </w:t>
      </w:r>
    </w:p>
    <w:p w14:paraId="05C4589E" w14:textId="3D93E542" w:rsidR="000A5A52" w:rsidRPr="000A5A52" w:rsidRDefault="0047091B" w:rsidP="000A5A52">
      <w:pPr>
        <w:rPr>
          <w:rFonts w:ascii="Calibri" w:hAnsi="Calibri"/>
          <w:lang w:val="en-US" w:eastAsia="en-US"/>
        </w:rPr>
      </w:pPr>
      <w:r>
        <w:t>We believe that there are numerous network-</w:t>
      </w:r>
      <w:r w:rsidR="000A5A52">
        <w:t>based technique</w:t>
      </w:r>
      <w:r>
        <w:t>s that</w:t>
      </w:r>
      <w:r w:rsidR="000A5A52">
        <w:t xml:space="preserve"> can be used to mitigate the cases and scenarios when MSD degradation happens in some LTE-NR band combination. Therefore, there is no need to for the device to enter a 1Tx mode. </w:t>
      </w:r>
      <w:r w:rsidR="002C0C18">
        <w:t>For example, t</w:t>
      </w:r>
      <w:r w:rsidR="000A5A52">
        <w:t xml:space="preserve">he network can mitigate the potential problem with MSD using </w:t>
      </w:r>
      <w:r w:rsidR="00ED05CC">
        <w:t xml:space="preserve">any or a combination of </w:t>
      </w:r>
      <w:r w:rsidR="000A5A52">
        <w:t>the following techniques</w:t>
      </w:r>
      <w:r w:rsidR="00CC744D">
        <w:t>:</w:t>
      </w:r>
    </w:p>
    <w:p w14:paraId="58886802" w14:textId="7A30ECC3" w:rsidR="000A5A52" w:rsidRDefault="000A5A52" w:rsidP="000A5A52">
      <w:pPr>
        <w:numPr>
          <w:ilvl w:val="0"/>
          <w:numId w:val="29"/>
        </w:numPr>
        <w:overflowPunct/>
        <w:autoSpaceDE/>
        <w:autoSpaceDN/>
        <w:adjustRightInd/>
        <w:spacing w:after="0"/>
        <w:jc w:val="left"/>
        <w:textAlignment w:val="auto"/>
      </w:pPr>
      <w:r>
        <w:t xml:space="preserve">SCG Reconfiguration: The SCG is reconfigured to a different carrier </w:t>
      </w:r>
      <w:r w:rsidR="00ED05CC">
        <w:t xml:space="preserve">(different ARFCN) </w:t>
      </w:r>
      <w:r>
        <w:t>where MSD issues are not present. When a single Cell is present in the SCG this is essentially changing the SCG from the current carrier frequency to a different carrier frequency where MSD issue are not present. When multiple Cells are present in the SCG this is essentially moving the UL to a different frequency within the SCG</w:t>
      </w:r>
    </w:p>
    <w:p w14:paraId="040B00ED" w14:textId="77777777" w:rsidR="000A5A52" w:rsidRDefault="000A5A52" w:rsidP="000A5A52">
      <w:pPr>
        <w:numPr>
          <w:ilvl w:val="0"/>
          <w:numId w:val="29"/>
        </w:numPr>
        <w:overflowPunct/>
        <w:autoSpaceDE/>
        <w:autoSpaceDN/>
        <w:adjustRightInd/>
        <w:spacing w:after="0"/>
        <w:jc w:val="left"/>
        <w:textAlignment w:val="auto"/>
      </w:pPr>
      <w:r>
        <w:t>MCG Reconfiguration: The MCG is reconfigured to a different carrier where MSD issues are not present. When only a single Cell is present in the MCG this is essentially handover to a different carrier frequency. When multiple Cells are present in the MCG this is essentially moving the UL to a different carrier frequency within the MCG.</w:t>
      </w:r>
    </w:p>
    <w:p w14:paraId="352F42AA" w14:textId="77777777" w:rsidR="000A5A52" w:rsidRDefault="000A5A52" w:rsidP="000A5A52">
      <w:pPr>
        <w:numPr>
          <w:ilvl w:val="0"/>
          <w:numId w:val="29"/>
        </w:numPr>
        <w:overflowPunct/>
        <w:autoSpaceDE/>
        <w:autoSpaceDN/>
        <w:adjustRightInd/>
        <w:spacing w:after="0"/>
        <w:jc w:val="left"/>
        <w:textAlignment w:val="auto"/>
      </w:pPr>
      <w:r>
        <w:t>Power Control: The network can reduce the UL transmit power level on the MCG or the SCG or both to mitigate the effect of MSD since MSD degradation happens only when both the PA are running at high power level. By reducing the transmit power level MSD issues can be mitigated significantly. Transmit power level can be reduced either by reducing the transmit power per PRB, total number of PRB or a combination of both.</w:t>
      </w:r>
    </w:p>
    <w:p w14:paraId="711D40EE" w14:textId="7319FCC7" w:rsidR="000A5A52" w:rsidRDefault="000A5A52" w:rsidP="000A5A52">
      <w:pPr>
        <w:numPr>
          <w:ilvl w:val="0"/>
          <w:numId w:val="29"/>
        </w:numPr>
        <w:overflowPunct/>
        <w:autoSpaceDE/>
        <w:autoSpaceDN/>
        <w:adjustRightInd/>
        <w:spacing w:after="0"/>
        <w:jc w:val="left"/>
        <w:textAlignment w:val="auto"/>
      </w:pPr>
      <w:r>
        <w:t xml:space="preserve">TDM: The network can also eliminate the potential MSD problem by using the 2 UL in TDM fashion. In </w:t>
      </w:r>
      <w:r w:rsidR="0047091B">
        <w:t>this case the network only schedu</w:t>
      </w:r>
      <w:r>
        <w:t>les the UE on 1 UL (including PUSCH, PUCCH, and SRS) frequency at a time. The two</w:t>
      </w:r>
      <w:r w:rsidR="0047091B">
        <w:t xml:space="preserve"> frequencies</w:t>
      </w:r>
      <w:r>
        <w:t xml:space="preserve"> are time multiplex</w:t>
      </w:r>
      <w:r w:rsidR="0047091B">
        <w:t>ed</w:t>
      </w:r>
      <w:r>
        <w:t xml:space="preserve"> with non-overlapping patterns. </w:t>
      </w:r>
    </w:p>
    <w:p w14:paraId="0A50EE1D" w14:textId="79790527" w:rsidR="000A5A52" w:rsidRDefault="000A5A52" w:rsidP="000A5A52">
      <w:pPr>
        <w:numPr>
          <w:ilvl w:val="0"/>
          <w:numId w:val="29"/>
        </w:numPr>
        <w:overflowPunct/>
        <w:autoSpaceDE/>
        <w:autoSpaceDN/>
        <w:adjustRightInd/>
        <w:spacing w:after="0"/>
        <w:jc w:val="left"/>
        <w:textAlignment w:val="auto"/>
      </w:pPr>
      <w:r>
        <w:lastRenderedPageBreak/>
        <w:t>Resource Blanking: In this case the network prevents allocating PRBs in the two UL frequency that cause MSD issue. By blanking out PRB combinations in the two UL frequencies that pose this problem the network can also mitigate and/or</w:t>
      </w:r>
      <w:r w:rsidR="0047091B">
        <w:t xml:space="preserve"> avoid the MSD issue to a large </w:t>
      </w:r>
      <w:r>
        <w:t xml:space="preserve">extent. </w:t>
      </w:r>
    </w:p>
    <w:p w14:paraId="641C3531" w14:textId="74416569" w:rsidR="000A5A52" w:rsidRDefault="000A5A52" w:rsidP="000A5A52"/>
    <w:p w14:paraId="3B574ADA" w14:textId="503D9629" w:rsidR="000A5A52" w:rsidRDefault="000A5A52" w:rsidP="000A5A52">
      <w:r>
        <w:t>In short</w:t>
      </w:r>
      <w:r w:rsidR="005E0FB0">
        <w:t>,</w:t>
      </w:r>
      <w:r>
        <w:t xml:space="preserve"> the network has a host of different solution</w:t>
      </w:r>
      <w:r w:rsidR="00AE6B10">
        <w:t>s</w:t>
      </w:r>
      <w:r>
        <w:t xml:space="preserve"> it could use to mitigate this issue and there is absolutely no reason for the UE to go to a single UL </w:t>
      </w:r>
      <w:proofErr w:type="spellStart"/>
      <w:r>
        <w:t>Tx</w:t>
      </w:r>
      <w:proofErr w:type="spellEnd"/>
      <w:r w:rsidR="00DD75F9">
        <w:t xml:space="preserve"> state</w:t>
      </w:r>
      <w:r>
        <w:t>.</w:t>
      </w:r>
    </w:p>
    <w:p w14:paraId="481554EA" w14:textId="0C977C4D" w:rsidR="0047091B" w:rsidRPr="00583973" w:rsidRDefault="0047091B" w:rsidP="000A5A52">
      <w:pPr>
        <w:rPr>
          <w:b/>
        </w:rPr>
      </w:pPr>
      <w:r w:rsidRPr="00583973">
        <w:rPr>
          <w:b/>
        </w:rPr>
        <w:t xml:space="preserve">Observation 1: </w:t>
      </w:r>
      <w:r w:rsidR="00ED05CC">
        <w:rPr>
          <w:b/>
        </w:rPr>
        <w:t>A multitude of n</w:t>
      </w:r>
      <w:r w:rsidRPr="00583973">
        <w:rPr>
          <w:b/>
        </w:rPr>
        <w:t xml:space="preserve">etwork-based solutions can be used </w:t>
      </w:r>
      <w:r w:rsidR="00DD75F9" w:rsidRPr="00583973">
        <w:rPr>
          <w:b/>
        </w:rPr>
        <w:t>to mitigate potential MSD in MR-DC band combinations</w:t>
      </w:r>
      <w:r w:rsidRPr="00583973">
        <w:rPr>
          <w:b/>
        </w:rPr>
        <w:t xml:space="preserve"> </w:t>
      </w:r>
      <w:r w:rsidR="00DD75F9" w:rsidRPr="00583973">
        <w:rPr>
          <w:b/>
        </w:rPr>
        <w:t>where this is a concern.</w:t>
      </w:r>
    </w:p>
    <w:p w14:paraId="2B93DF82" w14:textId="0C9C1C5E" w:rsidR="00DD75F9" w:rsidRPr="00583973" w:rsidRDefault="00DD75F9" w:rsidP="000A5A52">
      <w:pPr>
        <w:rPr>
          <w:b/>
          <w:lang w:val="en-US" w:eastAsia="ja-JP"/>
        </w:rPr>
      </w:pPr>
      <w:r w:rsidRPr="00583973">
        <w:rPr>
          <w:b/>
        </w:rPr>
        <w:t xml:space="preserve">Observation 2: Due to network-based solutions there is no reason for the UE to restrict itself to single UL </w:t>
      </w:r>
      <w:proofErr w:type="spellStart"/>
      <w:r w:rsidRPr="00583973">
        <w:rPr>
          <w:b/>
        </w:rPr>
        <w:t>Tx</w:t>
      </w:r>
      <w:proofErr w:type="spellEnd"/>
      <w:r w:rsidRPr="00583973">
        <w:rPr>
          <w:b/>
        </w:rPr>
        <w:t xml:space="preserve"> state</w:t>
      </w:r>
      <w:r w:rsidR="00663250" w:rsidRPr="00583973">
        <w:rPr>
          <w:b/>
        </w:rPr>
        <w:t xml:space="preserve"> in certain MR-DC band combinations</w:t>
      </w:r>
    </w:p>
    <w:p w14:paraId="54AE147B" w14:textId="6B19202F" w:rsidR="000A5A52" w:rsidRPr="00583973" w:rsidRDefault="000A5A52" w:rsidP="00535FE4">
      <w:pPr>
        <w:rPr>
          <w:b/>
          <w:lang w:val="en-US" w:eastAsia="ja-JP"/>
        </w:rPr>
      </w:pPr>
      <w:r w:rsidRPr="00583973">
        <w:rPr>
          <w:b/>
          <w:lang w:val="en-US" w:eastAsia="ja-JP"/>
        </w:rPr>
        <w:t>Proposal 1: 2Tx operation should always be the baseline for all band combinations of MR-DC</w:t>
      </w:r>
    </w:p>
    <w:p w14:paraId="53F4BBEE" w14:textId="2FA40D31" w:rsidR="00840B0B" w:rsidRDefault="00840B0B" w:rsidP="00535FE4"/>
    <w:p w14:paraId="439AD463" w14:textId="004201E0" w:rsidR="00AE6B10" w:rsidRPr="00527389" w:rsidRDefault="00AE6B10" w:rsidP="00535FE4">
      <w:pPr>
        <w:rPr>
          <w:u w:val="single"/>
        </w:rPr>
      </w:pPr>
      <w:r w:rsidRPr="00527389">
        <w:rPr>
          <w:u w:val="single"/>
        </w:rPr>
        <w:t>In-Device Techniques to Mitigate MSD</w:t>
      </w:r>
    </w:p>
    <w:p w14:paraId="74875F83" w14:textId="363FE85E" w:rsidR="00AE6B10" w:rsidRDefault="00934504" w:rsidP="00535FE4">
      <w:r>
        <w:t>A</w:t>
      </w:r>
      <w:r w:rsidR="00AE6B10">
        <w:t xml:space="preserve"> UE may support in-device techniques</w:t>
      </w:r>
      <w:r w:rsidR="00316EAD">
        <w:t>, such as interference cancellation,</w:t>
      </w:r>
      <w:r>
        <w:t xml:space="preserve"> increased isolation between </w:t>
      </w:r>
      <w:proofErr w:type="spellStart"/>
      <w:r>
        <w:t>Tx</w:t>
      </w:r>
      <w:proofErr w:type="spellEnd"/>
      <w:r>
        <w:t xml:space="preserve"> chains, improved PA linearity, etc. [2],</w:t>
      </w:r>
      <w:r w:rsidR="00AE6B10">
        <w:t xml:space="preserve"> to mitigate potential MSD in band combinations where it is of concern. If the network is made aware of the UE’s capability to mitigate potential MSD using in-device techniques, the network can make more informed decisions about the extent to which it should employ MSD mitigation techniques on its side as described above. For example, if a UE indicates that it does not support any in-device technique to mitigate MSD, the network may more aggressively employ one or more of the techniques described above to prevent the UE from experiencing MSD. </w:t>
      </w:r>
    </w:p>
    <w:p w14:paraId="3A19B638" w14:textId="3C9236C8" w:rsidR="00F57AB4" w:rsidRDefault="00F57AB4" w:rsidP="00535FE4">
      <w:r>
        <w:t xml:space="preserve">Hence, we propose a 1-bit </w:t>
      </w:r>
      <w:r w:rsidR="00A017B9">
        <w:t>indication by the UE to indicate whethe</w:t>
      </w:r>
      <w:r w:rsidR="00805FB7">
        <w:t>r the UE is capable of mitigating</w:t>
      </w:r>
      <w:r w:rsidR="0009438F">
        <w:t xml:space="preserve"> MSD</w:t>
      </w:r>
      <w:r w:rsidR="00ED05CC">
        <w:t xml:space="preserve"> for a given band combination</w:t>
      </w:r>
      <w:r w:rsidR="0009438F">
        <w:t xml:space="preserve"> using in-device techniques.</w:t>
      </w:r>
      <w:r w:rsidR="0012356A">
        <w:t xml:space="preserve"> We propose that </w:t>
      </w:r>
      <w:r w:rsidR="0012356A" w:rsidRPr="0012356A">
        <w:t>ASN.1</w:t>
      </w:r>
      <w:r w:rsidR="00C37C75">
        <w:t xml:space="preserve"> </w:t>
      </w:r>
      <w:r w:rsidR="00805FB7">
        <w:t>should</w:t>
      </w:r>
      <w:r w:rsidR="0012356A" w:rsidRPr="0012356A">
        <w:t xml:space="preserve"> only allow the prese</w:t>
      </w:r>
      <w:r w:rsidR="00805FB7">
        <w:t>nce of this UE capability bit for those band combinations that are identified by RAN4 as “problematic band combinations”.</w:t>
      </w:r>
      <w:r w:rsidR="0012356A" w:rsidRPr="0012356A">
        <w:t xml:space="preserve"> </w:t>
      </w:r>
      <w:r w:rsidR="0009438F">
        <w:t xml:space="preserve">Further we also propose that RAN2 </w:t>
      </w:r>
      <w:r w:rsidR="00A40E0D">
        <w:t>signalling</w:t>
      </w:r>
      <w:r w:rsidR="0009438F">
        <w:t xml:space="preserve"> should provide full flexibility to the network for utilizing any MSD mitigation techniques that are available to it, and that such signalling should be forward compatible. </w:t>
      </w:r>
    </w:p>
    <w:p w14:paraId="4C1C0D51" w14:textId="188D6EB5" w:rsidR="00AE6B10" w:rsidRPr="00583973" w:rsidRDefault="007571BD" w:rsidP="00535FE4">
      <w:pPr>
        <w:rPr>
          <w:b/>
        </w:rPr>
      </w:pPr>
      <w:r w:rsidRPr="00583973">
        <w:rPr>
          <w:b/>
        </w:rPr>
        <w:t>Observation 3: It would be very helpful for the network to know whether a UE is capable of supporting in-device techniques to mitigate MSD</w:t>
      </w:r>
    </w:p>
    <w:p w14:paraId="1B94ABEB" w14:textId="542602F6" w:rsidR="00624B76" w:rsidRPr="00583973" w:rsidRDefault="007571BD" w:rsidP="00535FE4">
      <w:pPr>
        <w:rPr>
          <w:b/>
        </w:rPr>
      </w:pPr>
      <w:r w:rsidRPr="00583973">
        <w:rPr>
          <w:b/>
        </w:rPr>
        <w:t xml:space="preserve">Proposal 2: </w:t>
      </w:r>
      <w:r w:rsidR="00A017B9" w:rsidRPr="00583973">
        <w:rPr>
          <w:b/>
        </w:rPr>
        <w:t xml:space="preserve">RAN2 should develop a 1-bit </w:t>
      </w:r>
      <w:r w:rsidRPr="00583973">
        <w:rPr>
          <w:b/>
        </w:rPr>
        <w:t xml:space="preserve">UE capability indication </w:t>
      </w:r>
      <w:r w:rsidR="00A017B9" w:rsidRPr="00583973">
        <w:rPr>
          <w:b/>
        </w:rPr>
        <w:t xml:space="preserve">to </w:t>
      </w:r>
      <w:r w:rsidR="00C652A9">
        <w:rPr>
          <w:b/>
        </w:rPr>
        <w:t xml:space="preserve">allow a UE to </w:t>
      </w:r>
      <w:r w:rsidR="00A017B9" w:rsidRPr="00583973">
        <w:rPr>
          <w:b/>
        </w:rPr>
        <w:t xml:space="preserve">indicate to the network </w:t>
      </w:r>
      <w:r w:rsidR="00C652A9">
        <w:rPr>
          <w:b/>
        </w:rPr>
        <w:t>whether it</w:t>
      </w:r>
      <w:r w:rsidRPr="00583973">
        <w:rPr>
          <w:b/>
        </w:rPr>
        <w:t xml:space="preserve"> supports in-device techn</w:t>
      </w:r>
      <w:r w:rsidR="00A017B9" w:rsidRPr="00583973">
        <w:rPr>
          <w:b/>
        </w:rPr>
        <w:t>iques to mitigate MSD</w:t>
      </w:r>
      <w:r w:rsidR="00805FB7">
        <w:rPr>
          <w:b/>
        </w:rPr>
        <w:t xml:space="preserve">. </w:t>
      </w:r>
      <w:r w:rsidR="00C37C75">
        <w:rPr>
          <w:b/>
        </w:rPr>
        <w:t xml:space="preserve">ASN.1 </w:t>
      </w:r>
      <w:r w:rsidR="00805FB7" w:rsidRPr="00805FB7">
        <w:rPr>
          <w:b/>
        </w:rPr>
        <w:t>should only allow the presence of this UE capability bit for those band combinations that are identified by RAN4 as “problematic band combin</w:t>
      </w:r>
      <w:r w:rsidR="00C37C75">
        <w:rPr>
          <w:b/>
        </w:rPr>
        <w:t>ations”</w:t>
      </w:r>
    </w:p>
    <w:p w14:paraId="14655B2D" w14:textId="17FF4FB3" w:rsidR="00624B76" w:rsidRPr="00583973" w:rsidRDefault="00624B76" w:rsidP="00535FE4">
      <w:pPr>
        <w:rPr>
          <w:b/>
        </w:rPr>
      </w:pPr>
      <w:r w:rsidRPr="00583973">
        <w:rPr>
          <w:b/>
        </w:rPr>
        <w:t xml:space="preserve">Proposal 3: RAN2 </w:t>
      </w:r>
      <w:r w:rsidR="00A40E0D" w:rsidRPr="00583973">
        <w:rPr>
          <w:b/>
        </w:rPr>
        <w:t>signalling</w:t>
      </w:r>
      <w:r w:rsidRPr="00583973">
        <w:rPr>
          <w:b/>
        </w:rPr>
        <w:t xml:space="preserve"> should provide full flexibility to the network for utilizing any </w:t>
      </w:r>
      <w:r w:rsidR="007833DC">
        <w:rPr>
          <w:b/>
        </w:rPr>
        <w:t>MSD</w:t>
      </w:r>
      <w:r w:rsidRPr="00583973">
        <w:rPr>
          <w:b/>
        </w:rPr>
        <w:t xml:space="preserve"> m</w:t>
      </w:r>
      <w:r w:rsidR="007833DC">
        <w:rPr>
          <w:b/>
        </w:rPr>
        <w:t>itigation techniques that are</w:t>
      </w:r>
      <w:r w:rsidRPr="00583973">
        <w:rPr>
          <w:b/>
        </w:rPr>
        <w:t xml:space="preserve"> available to the network. RAN2 should take future flexibility into ac</w:t>
      </w:r>
      <w:r w:rsidR="00A40E0D">
        <w:rPr>
          <w:b/>
        </w:rPr>
        <w:t>count when designing/specifying</w:t>
      </w:r>
      <w:r w:rsidRPr="00583973">
        <w:rPr>
          <w:b/>
        </w:rPr>
        <w:t xml:space="preserve"> the </w:t>
      </w:r>
      <w:r w:rsidR="00A40E0D" w:rsidRPr="00583973">
        <w:rPr>
          <w:b/>
        </w:rPr>
        <w:t>signalling</w:t>
      </w:r>
      <w:r w:rsidRPr="00583973">
        <w:rPr>
          <w:b/>
        </w:rPr>
        <w:t xml:space="preserve"> and UE </w:t>
      </w:r>
      <w:r w:rsidR="00A40E0D" w:rsidRPr="00583973">
        <w:rPr>
          <w:b/>
        </w:rPr>
        <w:t>behaviour</w:t>
      </w:r>
      <w:r w:rsidRPr="00583973">
        <w:rPr>
          <w:b/>
        </w:rPr>
        <w:t xml:space="preserve"> for mitigating </w:t>
      </w:r>
      <w:r w:rsidR="007833DC">
        <w:rPr>
          <w:b/>
        </w:rPr>
        <w:t>MSD</w:t>
      </w:r>
      <w:r w:rsidRPr="00583973">
        <w:rPr>
          <w:b/>
        </w:rPr>
        <w:t xml:space="preserve"> issue i</w:t>
      </w:r>
      <w:r w:rsidR="00A40E0D">
        <w:rPr>
          <w:b/>
        </w:rPr>
        <w:t>n "difficult band combinations"</w:t>
      </w:r>
    </w:p>
    <w:p w14:paraId="2FD245C1" w14:textId="2574094D" w:rsidR="00624B76" w:rsidRDefault="00527389" w:rsidP="00535FE4">
      <w:r>
        <w:t xml:space="preserve">Finally, one must also consider the possibility that RAN2 potentially develops signalling to allow a UE to dynamically indicate to the network that it is currently facing MSD. </w:t>
      </w:r>
      <w:r w:rsidR="001045A6">
        <w:t xml:space="preserve">In such a case, whether or not the UE has previously already indicated to the network its capability to mitigate MSD using in-device techniques, the network may take additional steps to ensure that the UE does not experience MSD. Such techniques may include employing additional network-based mitigation techniques that may not have been employed so far for such a UE. </w:t>
      </w:r>
    </w:p>
    <w:p w14:paraId="6F959554" w14:textId="6E7CAF4B" w:rsidR="001045A6" w:rsidRDefault="001045A6" w:rsidP="00535FE4">
      <w:r w:rsidRPr="001045A6">
        <w:rPr>
          <w:b/>
        </w:rPr>
        <w:t xml:space="preserve">Proposal 4: Regardless of whether a UE is capable of supporting in-device techniques to mitigate potential MSD in certain MR-DC band combinations, or whether UE is capable of dynamically indicating to the network that it is currently experiencing MSD, the network should always make the final decision and indicate to the UE whether or not it should transmit on both the UL carriers </w:t>
      </w:r>
      <w:r w:rsidR="00065BA6">
        <w:rPr>
          <w:b/>
        </w:rPr>
        <w:t xml:space="preserve">simultaneously for a </w:t>
      </w:r>
      <w:r w:rsidRPr="001045A6">
        <w:rPr>
          <w:b/>
        </w:rPr>
        <w:t>given band combination</w:t>
      </w:r>
      <w:r w:rsidRPr="001045A6">
        <w:t>.</w:t>
      </w:r>
      <w:r>
        <w:t xml:space="preserve"> </w:t>
      </w:r>
    </w:p>
    <w:p w14:paraId="573ABDED" w14:textId="77777777" w:rsidR="003B3DC5" w:rsidRDefault="003B3DC5" w:rsidP="00535FE4"/>
    <w:p w14:paraId="47ABBF00" w14:textId="2F9FC7B8" w:rsidR="001A2F6D" w:rsidRDefault="00000B0D" w:rsidP="00000B0D">
      <w:pPr>
        <w:pStyle w:val="Heading1"/>
      </w:pPr>
      <w:r>
        <w:lastRenderedPageBreak/>
        <w:t xml:space="preserve">Summary </w:t>
      </w:r>
      <w:r w:rsidR="00F02B0A">
        <w:t xml:space="preserve"> </w:t>
      </w:r>
    </w:p>
    <w:p w14:paraId="1FBDA507" w14:textId="1167D9E2" w:rsidR="00AA7F15" w:rsidRDefault="00AA7F15" w:rsidP="00AA7F15">
      <w:r>
        <w:t xml:space="preserve">In this </w:t>
      </w:r>
      <w:r w:rsidR="00D313BC">
        <w:t>contribution,</w:t>
      </w:r>
      <w:r>
        <w:t xml:space="preserve"> we examined the </w:t>
      </w:r>
      <w:r w:rsidR="006B3C4A">
        <w:t>issue of potential MSD at the UE when simultaneously transmitting in two bands for certain band combinations. We made the following observations and</w:t>
      </w:r>
      <w:r>
        <w:t xml:space="preserve"> offered the following proposals for consideration:</w:t>
      </w:r>
    </w:p>
    <w:p w14:paraId="2E1F8A89" w14:textId="77777777" w:rsidR="00A40E0D" w:rsidRPr="00583973" w:rsidRDefault="00A40E0D" w:rsidP="00A40E0D">
      <w:pPr>
        <w:rPr>
          <w:b/>
        </w:rPr>
      </w:pPr>
      <w:r w:rsidRPr="00583973">
        <w:rPr>
          <w:b/>
        </w:rPr>
        <w:t>Observation 1: Network-based solutions can be used to mitigate potential MSD in MR-DC band combinations where this is a concern.</w:t>
      </w:r>
    </w:p>
    <w:p w14:paraId="0B1262DE" w14:textId="77777777" w:rsidR="00A40E0D" w:rsidRPr="00583973" w:rsidRDefault="00A40E0D" w:rsidP="00A40E0D">
      <w:pPr>
        <w:rPr>
          <w:b/>
          <w:lang w:val="en-US" w:eastAsia="ja-JP"/>
        </w:rPr>
      </w:pPr>
      <w:r w:rsidRPr="00583973">
        <w:rPr>
          <w:b/>
        </w:rPr>
        <w:t xml:space="preserve">Observation 2: Due to network-based solutions there is no reason for the UE to restrict itself to single UL </w:t>
      </w:r>
      <w:proofErr w:type="spellStart"/>
      <w:r w:rsidRPr="00583973">
        <w:rPr>
          <w:b/>
        </w:rPr>
        <w:t>Tx</w:t>
      </w:r>
      <w:proofErr w:type="spellEnd"/>
      <w:r w:rsidRPr="00583973">
        <w:rPr>
          <w:b/>
        </w:rPr>
        <w:t xml:space="preserve"> state in certain MR-DC band combinations</w:t>
      </w:r>
      <w:bookmarkStart w:id="5" w:name="_GoBack"/>
      <w:bookmarkEnd w:id="5"/>
    </w:p>
    <w:p w14:paraId="616F377D" w14:textId="77777777" w:rsidR="00A40E0D" w:rsidRPr="00583973" w:rsidRDefault="00A40E0D" w:rsidP="00A40E0D">
      <w:pPr>
        <w:rPr>
          <w:b/>
        </w:rPr>
      </w:pPr>
      <w:r w:rsidRPr="00583973">
        <w:rPr>
          <w:b/>
        </w:rPr>
        <w:t>Observation 3: It would be very helpful for the network to know whether a UE is capable of supporting in-device techniques to mitigate MSD</w:t>
      </w:r>
    </w:p>
    <w:p w14:paraId="6C3ABE6B" w14:textId="77777777" w:rsidR="00A40E0D" w:rsidRPr="00583973" w:rsidRDefault="00A40E0D" w:rsidP="00A40E0D">
      <w:pPr>
        <w:rPr>
          <w:b/>
          <w:lang w:val="en-US" w:eastAsia="ja-JP"/>
        </w:rPr>
      </w:pPr>
      <w:r w:rsidRPr="00583973">
        <w:rPr>
          <w:b/>
          <w:lang w:val="en-US" w:eastAsia="ja-JP"/>
        </w:rPr>
        <w:t>Proposal 1: 2Tx operation should always be the baseline for all band combinations of MR-DC</w:t>
      </w:r>
    </w:p>
    <w:p w14:paraId="267B0D15" w14:textId="77777777" w:rsidR="00C37C75" w:rsidRDefault="00C37C75" w:rsidP="00A40E0D">
      <w:pPr>
        <w:rPr>
          <w:b/>
        </w:rPr>
      </w:pPr>
      <w:r w:rsidRPr="00C37C75">
        <w:rPr>
          <w:b/>
        </w:rPr>
        <w:t>Proposal 2: RAN2 should develop a 1-bit UE capability indication to allow a UE to indicate to the network whether it supports in-device techniques to mitigate MSD. ASN.1 should only allow the presence of this UE capability bit for those band combinations that are identified by RAN4 as “problematic band combinations”</w:t>
      </w:r>
    </w:p>
    <w:p w14:paraId="56019AE3" w14:textId="48A2BEB5" w:rsidR="00A40E0D" w:rsidRPr="00583973" w:rsidRDefault="00A40E0D" w:rsidP="00A40E0D">
      <w:pPr>
        <w:rPr>
          <w:b/>
        </w:rPr>
      </w:pPr>
      <w:r w:rsidRPr="00583973">
        <w:rPr>
          <w:b/>
        </w:rPr>
        <w:t xml:space="preserve">Proposal 3: RAN2 signalling should provide full flexibility to the network for utilizing any </w:t>
      </w:r>
      <w:r w:rsidR="007833DC">
        <w:rPr>
          <w:b/>
        </w:rPr>
        <w:t>MSD</w:t>
      </w:r>
      <w:r w:rsidRPr="00583973">
        <w:rPr>
          <w:b/>
        </w:rPr>
        <w:t xml:space="preserve"> m</w:t>
      </w:r>
      <w:r w:rsidR="007833DC">
        <w:rPr>
          <w:b/>
        </w:rPr>
        <w:t>itigation techniques that are</w:t>
      </w:r>
      <w:r w:rsidRPr="00583973">
        <w:rPr>
          <w:b/>
        </w:rPr>
        <w:t xml:space="preserve"> available to the network. RAN2 should take future flexibility into ac</w:t>
      </w:r>
      <w:r>
        <w:rPr>
          <w:b/>
        </w:rPr>
        <w:t>count when designing/specifying</w:t>
      </w:r>
      <w:r w:rsidRPr="00583973">
        <w:rPr>
          <w:b/>
        </w:rPr>
        <w:t xml:space="preserve"> the signalling and UE behaviour for mitigating </w:t>
      </w:r>
      <w:r w:rsidR="007833DC">
        <w:rPr>
          <w:b/>
        </w:rPr>
        <w:t>MSD</w:t>
      </w:r>
      <w:r w:rsidRPr="00583973">
        <w:rPr>
          <w:b/>
        </w:rPr>
        <w:t xml:space="preserve"> issue i</w:t>
      </w:r>
      <w:r>
        <w:rPr>
          <w:b/>
        </w:rPr>
        <w:t>n "difficult band combinations"</w:t>
      </w:r>
    </w:p>
    <w:p w14:paraId="57B1BBB5" w14:textId="5891D5F8" w:rsidR="004C3DE8" w:rsidRDefault="00065BA6" w:rsidP="0002042F">
      <w:pPr>
        <w:rPr>
          <w:b/>
        </w:rPr>
      </w:pPr>
      <w:r w:rsidRPr="001045A6">
        <w:rPr>
          <w:b/>
        </w:rPr>
        <w:t xml:space="preserve">Proposal 4: Regardless of whether a UE is capable of supporting in-device techniques to mitigate potential MSD in certain MR-DC band combinations, or whether UE is capable of dynamically indicating to the network that it is currently experiencing MSD, the network should always make the final decision and indicate to the UE whether or not it should transmit on both the UL carriers </w:t>
      </w:r>
      <w:r>
        <w:rPr>
          <w:b/>
        </w:rPr>
        <w:t xml:space="preserve">simultaneously for a </w:t>
      </w:r>
      <w:r w:rsidRPr="001045A6">
        <w:rPr>
          <w:b/>
        </w:rPr>
        <w:t>given band combination</w:t>
      </w:r>
    </w:p>
    <w:p w14:paraId="6DCA6C20" w14:textId="77777777" w:rsidR="00917253" w:rsidRPr="00D70B5A" w:rsidRDefault="00917253" w:rsidP="0002042F">
      <w:pPr>
        <w:rPr>
          <w:lang w:eastAsia="ja-JP"/>
        </w:rPr>
      </w:pPr>
    </w:p>
    <w:p w14:paraId="5883DBEF" w14:textId="00D267A6" w:rsidR="00AA7F15" w:rsidRDefault="004E2B95" w:rsidP="004E2B95">
      <w:pPr>
        <w:pStyle w:val="Heading1"/>
        <w:tabs>
          <w:tab w:val="clear" w:pos="432"/>
        </w:tabs>
      </w:pPr>
      <w:r>
        <w:t>Reference</w:t>
      </w:r>
      <w:r>
        <w:rPr>
          <w:lang w:eastAsia="ko-KR"/>
        </w:rPr>
        <w:t xml:space="preserve"> </w:t>
      </w:r>
    </w:p>
    <w:p w14:paraId="31D7B9B5" w14:textId="3F78753E" w:rsidR="004E2B95" w:rsidRDefault="004E2B95" w:rsidP="004E2B95">
      <w:pPr>
        <w:numPr>
          <w:ilvl w:val="0"/>
          <w:numId w:val="28"/>
        </w:numPr>
        <w:overflowPunct/>
        <w:autoSpaceDE/>
        <w:autoSpaceDN/>
        <w:adjustRightInd/>
        <w:spacing w:after="180" w:line="288" w:lineRule="auto"/>
        <w:jc w:val="left"/>
        <w:textAlignment w:val="auto"/>
        <w:rPr>
          <w:rFonts w:eastAsia="Malgun Gothic" w:cs="Arial"/>
          <w:lang w:eastAsia="ko-KR"/>
        </w:rPr>
      </w:pPr>
      <w:r>
        <w:rPr>
          <w:rFonts w:eastAsia="Malgun Gothic" w:cs="Arial"/>
          <w:lang w:eastAsia="ko-KR"/>
        </w:rPr>
        <w:t>RP-172085</w:t>
      </w:r>
      <w:r w:rsidRPr="004E2B95">
        <w:rPr>
          <w:rFonts w:eastAsia="Malgun Gothic" w:cs="Arial"/>
          <w:lang w:eastAsia="ko-KR"/>
        </w:rPr>
        <w:t xml:space="preserve">, Signalling for Single/Dual UL </w:t>
      </w:r>
      <w:proofErr w:type="spellStart"/>
      <w:r w:rsidRPr="004E2B95">
        <w:rPr>
          <w:rFonts w:eastAsia="Malgun Gothic" w:cs="Arial"/>
          <w:lang w:eastAsia="ko-KR"/>
        </w:rPr>
        <w:t>Tx</w:t>
      </w:r>
      <w:proofErr w:type="spellEnd"/>
      <w:r w:rsidRPr="004E2B95">
        <w:rPr>
          <w:rFonts w:eastAsia="Malgun Gothic" w:cs="Arial"/>
          <w:lang w:eastAsia="ko-KR"/>
        </w:rPr>
        <w:t xml:space="preserve"> (current status), RAN2 Chairman</w:t>
      </w:r>
    </w:p>
    <w:p w14:paraId="5F1F480F" w14:textId="3D253A88" w:rsidR="0074405F" w:rsidRDefault="0074405F" w:rsidP="00934504">
      <w:pPr>
        <w:numPr>
          <w:ilvl w:val="0"/>
          <w:numId w:val="28"/>
        </w:numPr>
        <w:overflowPunct/>
        <w:autoSpaceDE/>
        <w:autoSpaceDN/>
        <w:adjustRightInd/>
        <w:spacing w:after="180" w:line="288" w:lineRule="auto"/>
        <w:jc w:val="left"/>
        <w:textAlignment w:val="auto"/>
        <w:rPr>
          <w:rFonts w:eastAsia="Malgun Gothic" w:cs="Arial"/>
          <w:lang w:eastAsia="ko-KR"/>
        </w:rPr>
      </w:pPr>
      <w:r>
        <w:rPr>
          <w:rFonts w:eastAsia="Malgun Gothic" w:cs="Arial"/>
          <w:lang w:eastAsia="ko-KR"/>
        </w:rPr>
        <w:t xml:space="preserve">H. </w:t>
      </w:r>
      <w:proofErr w:type="spellStart"/>
      <w:r>
        <w:rPr>
          <w:rFonts w:eastAsia="Malgun Gothic" w:cs="Arial"/>
          <w:lang w:eastAsia="ko-KR"/>
        </w:rPr>
        <w:t>Gheidi</w:t>
      </w:r>
      <w:proofErr w:type="spellEnd"/>
      <w:r>
        <w:rPr>
          <w:rFonts w:eastAsia="Malgun Gothic" w:cs="Arial"/>
          <w:lang w:eastAsia="ko-KR"/>
        </w:rPr>
        <w:t xml:space="preserve">, H-T </w:t>
      </w:r>
      <w:proofErr w:type="spellStart"/>
      <w:r>
        <w:rPr>
          <w:rFonts w:eastAsia="Malgun Gothic" w:cs="Arial"/>
          <w:lang w:eastAsia="ko-KR"/>
        </w:rPr>
        <w:t>Dabag</w:t>
      </w:r>
      <w:proofErr w:type="spellEnd"/>
      <w:r>
        <w:rPr>
          <w:rFonts w:eastAsia="Malgun Gothic" w:cs="Arial"/>
          <w:lang w:eastAsia="ko-KR"/>
        </w:rPr>
        <w:t xml:space="preserve">, Y. Liu, P. </w:t>
      </w:r>
      <w:proofErr w:type="spellStart"/>
      <w:r>
        <w:rPr>
          <w:rFonts w:eastAsia="Malgun Gothic" w:cs="Arial"/>
          <w:lang w:eastAsia="ko-KR"/>
        </w:rPr>
        <w:t>Asbeck</w:t>
      </w:r>
      <w:proofErr w:type="spellEnd"/>
      <w:r>
        <w:rPr>
          <w:rFonts w:eastAsia="Malgun Gothic" w:cs="Arial"/>
          <w:lang w:eastAsia="ko-KR"/>
        </w:rPr>
        <w:t xml:space="preserve">, P. </w:t>
      </w:r>
      <w:proofErr w:type="spellStart"/>
      <w:r>
        <w:rPr>
          <w:rFonts w:eastAsia="Malgun Gothic" w:cs="Arial"/>
          <w:lang w:eastAsia="ko-KR"/>
        </w:rPr>
        <w:t>Gudem</w:t>
      </w:r>
      <w:proofErr w:type="spellEnd"/>
      <w:r>
        <w:rPr>
          <w:rFonts w:eastAsia="Malgun Gothic" w:cs="Arial"/>
          <w:lang w:eastAsia="ko-KR"/>
        </w:rPr>
        <w:t xml:space="preserve">. “Digital Cancellation Technique to Mitigate Receiver Desensitization in Cellular Handsets Operating in Carrier Aggregation Mode with Multiple Uplinks and Multiple Downlinks”, 2015 IEEE Radio and Wireless Symposium. </w:t>
      </w:r>
    </w:p>
    <w:p w14:paraId="26B155F4" w14:textId="77777777" w:rsidR="004E2B95" w:rsidRPr="00AA7F15" w:rsidRDefault="004E2B95" w:rsidP="004E2B95"/>
    <w:p w14:paraId="1A837BED" w14:textId="77777777" w:rsidR="00B400C4" w:rsidRPr="00AA7F15" w:rsidRDefault="00B400C4"/>
    <w:sectPr w:rsidR="00B400C4" w:rsidRPr="00AA7F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48525" w14:textId="77777777" w:rsidR="00687D4C" w:rsidRDefault="00687D4C">
      <w:r>
        <w:separator/>
      </w:r>
    </w:p>
  </w:endnote>
  <w:endnote w:type="continuationSeparator" w:id="0">
    <w:p w14:paraId="3290A1DD" w14:textId="77777777" w:rsidR="00687D4C" w:rsidRDefault="00687D4C">
      <w:r>
        <w:continuationSeparator/>
      </w:r>
    </w:p>
  </w:endnote>
  <w:endnote w:type="continuationNotice" w:id="1">
    <w:p w14:paraId="65FD69EF" w14:textId="77777777" w:rsidR="00687D4C" w:rsidRDefault="00687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71B" w14:textId="77777777" w:rsidR="000079EE" w:rsidRDefault="0000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6620DB0"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7C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C75">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97A" w14:textId="77777777" w:rsidR="000079EE" w:rsidRDefault="0000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C2D4B" w14:textId="77777777" w:rsidR="00687D4C" w:rsidRDefault="00687D4C">
      <w:r>
        <w:separator/>
      </w:r>
    </w:p>
  </w:footnote>
  <w:footnote w:type="continuationSeparator" w:id="0">
    <w:p w14:paraId="036FF3F3" w14:textId="77777777" w:rsidR="00687D4C" w:rsidRDefault="00687D4C">
      <w:r>
        <w:continuationSeparator/>
      </w:r>
    </w:p>
  </w:footnote>
  <w:footnote w:type="continuationNotice" w:id="1">
    <w:p w14:paraId="6B5FE002" w14:textId="77777777" w:rsidR="00687D4C" w:rsidRDefault="00687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3384" w14:textId="77777777" w:rsidR="000079EE" w:rsidRDefault="0000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D6722"/>
    <w:multiLevelType w:val="hybridMultilevel"/>
    <w:tmpl w:val="A30816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E50E6"/>
    <w:multiLevelType w:val="hybridMultilevel"/>
    <w:tmpl w:val="B390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6"/>
  </w:num>
  <w:num w:numId="3">
    <w:abstractNumId w:val="12"/>
  </w:num>
  <w:num w:numId="4">
    <w:abstractNumId w:val="8"/>
  </w:num>
  <w:num w:numId="5">
    <w:abstractNumId w:val="13"/>
  </w:num>
  <w:num w:numId="6">
    <w:abstractNumId w:val="21"/>
  </w:num>
  <w:num w:numId="7">
    <w:abstractNumId w:val="9"/>
  </w:num>
  <w:num w:numId="8">
    <w:abstractNumId w:val="17"/>
  </w:num>
  <w:num w:numId="9">
    <w:abstractNumId w:val="18"/>
  </w:num>
  <w:num w:numId="10">
    <w:abstractNumId w:val="11"/>
  </w:num>
  <w:num w:numId="11">
    <w:abstractNumId w:val="24"/>
  </w:num>
  <w:num w:numId="12">
    <w:abstractNumId w:val="3"/>
  </w:num>
  <w:num w:numId="13">
    <w:abstractNumId w:val="19"/>
  </w:num>
  <w:num w:numId="14">
    <w:abstractNumId w:val="20"/>
  </w:num>
  <w:num w:numId="15">
    <w:abstractNumId w:val="5"/>
  </w:num>
  <w:num w:numId="16">
    <w:abstractNumId w:val="25"/>
  </w:num>
  <w:num w:numId="17">
    <w:abstractNumId w:val="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 w:numId="20">
    <w:abstractNumId w:val="23"/>
  </w:num>
  <w:num w:numId="21">
    <w:abstractNumId w:val="26"/>
  </w:num>
  <w:num w:numId="22">
    <w:abstractNumId w:val="22"/>
  </w:num>
  <w:num w:numId="23">
    <w:abstractNumId w:val="7"/>
  </w:num>
  <w:num w:numId="24">
    <w:abstractNumId w:val="14"/>
  </w:num>
  <w:num w:numId="25">
    <w:abstractNumId w:val="22"/>
  </w:num>
  <w:num w:numId="26">
    <w:abstractNumId w:val="15"/>
  </w:num>
  <w:num w:numId="27">
    <w:abstractNumId w:val="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233"/>
    <w:rsid w:val="00006446"/>
    <w:rsid w:val="00006896"/>
    <w:rsid w:val="000079EE"/>
    <w:rsid w:val="00007CDC"/>
    <w:rsid w:val="0001077C"/>
    <w:rsid w:val="00011B28"/>
    <w:rsid w:val="00012CA8"/>
    <w:rsid w:val="00015D15"/>
    <w:rsid w:val="000178FB"/>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2A6F"/>
    <w:rsid w:val="000534E3"/>
    <w:rsid w:val="00055BC1"/>
    <w:rsid w:val="0005606A"/>
    <w:rsid w:val="00056A1D"/>
    <w:rsid w:val="00057117"/>
    <w:rsid w:val="000609B7"/>
    <w:rsid w:val="000616E7"/>
    <w:rsid w:val="0006487E"/>
    <w:rsid w:val="00065BA6"/>
    <w:rsid w:val="00065E1A"/>
    <w:rsid w:val="000668D7"/>
    <w:rsid w:val="00070FBD"/>
    <w:rsid w:val="000740FB"/>
    <w:rsid w:val="0007444C"/>
    <w:rsid w:val="00074C32"/>
    <w:rsid w:val="00077E5F"/>
    <w:rsid w:val="0008036A"/>
    <w:rsid w:val="00081A21"/>
    <w:rsid w:val="00081AE6"/>
    <w:rsid w:val="000855EB"/>
    <w:rsid w:val="00085B52"/>
    <w:rsid w:val="000860E0"/>
    <w:rsid w:val="000866F2"/>
    <w:rsid w:val="0009009F"/>
    <w:rsid w:val="00090CCA"/>
    <w:rsid w:val="00091557"/>
    <w:rsid w:val="000924C1"/>
    <w:rsid w:val="000924F0"/>
    <w:rsid w:val="00093474"/>
    <w:rsid w:val="0009438F"/>
    <w:rsid w:val="0009510F"/>
    <w:rsid w:val="000A0AFD"/>
    <w:rsid w:val="000A1B7B"/>
    <w:rsid w:val="000A36C3"/>
    <w:rsid w:val="000A56F2"/>
    <w:rsid w:val="000A5A5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45A6"/>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56A"/>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A48"/>
    <w:rsid w:val="00174FD5"/>
    <w:rsid w:val="00177293"/>
    <w:rsid w:val="00177587"/>
    <w:rsid w:val="0018143F"/>
    <w:rsid w:val="00184AD2"/>
    <w:rsid w:val="00185D98"/>
    <w:rsid w:val="00190623"/>
    <w:rsid w:val="00190AC1"/>
    <w:rsid w:val="00191EC7"/>
    <w:rsid w:val="00192E9E"/>
    <w:rsid w:val="0019341A"/>
    <w:rsid w:val="00193676"/>
    <w:rsid w:val="001955A4"/>
    <w:rsid w:val="00195B45"/>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365"/>
    <w:rsid w:val="001E7AED"/>
    <w:rsid w:val="001F2689"/>
    <w:rsid w:val="001F3159"/>
    <w:rsid w:val="001F3916"/>
    <w:rsid w:val="001F54C5"/>
    <w:rsid w:val="001F662C"/>
    <w:rsid w:val="001F7074"/>
    <w:rsid w:val="00200490"/>
    <w:rsid w:val="00201F3A"/>
    <w:rsid w:val="00203F96"/>
    <w:rsid w:val="002069B2"/>
    <w:rsid w:val="00207FA3"/>
    <w:rsid w:val="00210001"/>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32B9"/>
    <w:rsid w:val="00235632"/>
    <w:rsid w:val="00235850"/>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A5FBD"/>
    <w:rsid w:val="002B0D5D"/>
    <w:rsid w:val="002B18B7"/>
    <w:rsid w:val="002B24D6"/>
    <w:rsid w:val="002B4A64"/>
    <w:rsid w:val="002C0C18"/>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16EAD"/>
    <w:rsid w:val="003203ED"/>
    <w:rsid w:val="00321287"/>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8E0"/>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DC5"/>
    <w:rsid w:val="003B3E56"/>
    <w:rsid w:val="003B7FE5"/>
    <w:rsid w:val="003C11C8"/>
    <w:rsid w:val="003C1B54"/>
    <w:rsid w:val="003C2702"/>
    <w:rsid w:val="003C4CE3"/>
    <w:rsid w:val="003C672E"/>
    <w:rsid w:val="003C6BA7"/>
    <w:rsid w:val="003C7806"/>
    <w:rsid w:val="003D109F"/>
    <w:rsid w:val="003D2478"/>
    <w:rsid w:val="003D3754"/>
    <w:rsid w:val="003D3B57"/>
    <w:rsid w:val="003D3C45"/>
    <w:rsid w:val="003D5B1F"/>
    <w:rsid w:val="003D77DF"/>
    <w:rsid w:val="003E15FA"/>
    <w:rsid w:val="003E25C2"/>
    <w:rsid w:val="003E38A9"/>
    <w:rsid w:val="003E55E4"/>
    <w:rsid w:val="003E74E3"/>
    <w:rsid w:val="003F05C7"/>
    <w:rsid w:val="003F2CD4"/>
    <w:rsid w:val="003F6BBE"/>
    <w:rsid w:val="004000E8"/>
    <w:rsid w:val="00400A95"/>
    <w:rsid w:val="00402E2B"/>
    <w:rsid w:val="00404DEE"/>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91B"/>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2619"/>
    <w:rsid w:val="004B72BA"/>
    <w:rsid w:val="004B7C0C"/>
    <w:rsid w:val="004C1AE7"/>
    <w:rsid w:val="004C379F"/>
    <w:rsid w:val="004C3898"/>
    <w:rsid w:val="004C3DE8"/>
    <w:rsid w:val="004C4DA8"/>
    <w:rsid w:val="004C7E2C"/>
    <w:rsid w:val="004D1E06"/>
    <w:rsid w:val="004D36B1"/>
    <w:rsid w:val="004D4548"/>
    <w:rsid w:val="004D7EBD"/>
    <w:rsid w:val="004E1AF8"/>
    <w:rsid w:val="004E2680"/>
    <w:rsid w:val="004E28F9"/>
    <w:rsid w:val="004E2B95"/>
    <w:rsid w:val="004E462E"/>
    <w:rsid w:val="004E539D"/>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27389"/>
    <w:rsid w:val="00530FD1"/>
    <w:rsid w:val="00532CBD"/>
    <w:rsid w:val="005338AC"/>
    <w:rsid w:val="00534B59"/>
    <w:rsid w:val="00535FE4"/>
    <w:rsid w:val="00536759"/>
    <w:rsid w:val="00537C62"/>
    <w:rsid w:val="00544704"/>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10CD"/>
    <w:rsid w:val="00582809"/>
    <w:rsid w:val="00583973"/>
    <w:rsid w:val="00584B24"/>
    <w:rsid w:val="00586BA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0FB0"/>
    <w:rsid w:val="005E1044"/>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24B76"/>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250"/>
    <w:rsid w:val="006634E6"/>
    <w:rsid w:val="006655EE"/>
    <w:rsid w:val="006673DC"/>
    <w:rsid w:val="00667EE7"/>
    <w:rsid w:val="00670922"/>
    <w:rsid w:val="00670BE1"/>
    <w:rsid w:val="0067218F"/>
    <w:rsid w:val="00673BD5"/>
    <w:rsid w:val="00673F9C"/>
    <w:rsid w:val="006741F2"/>
    <w:rsid w:val="00674CC3"/>
    <w:rsid w:val="00675C72"/>
    <w:rsid w:val="006771F9"/>
    <w:rsid w:val="006776D7"/>
    <w:rsid w:val="00681003"/>
    <w:rsid w:val="00681176"/>
    <w:rsid w:val="006817C9"/>
    <w:rsid w:val="00683ECE"/>
    <w:rsid w:val="0068561A"/>
    <w:rsid w:val="00686D6C"/>
    <w:rsid w:val="00687D4C"/>
    <w:rsid w:val="00695FC2"/>
    <w:rsid w:val="006967F7"/>
    <w:rsid w:val="00696949"/>
    <w:rsid w:val="00696DE4"/>
    <w:rsid w:val="00697052"/>
    <w:rsid w:val="006A12AD"/>
    <w:rsid w:val="006A46FB"/>
    <w:rsid w:val="006A5E28"/>
    <w:rsid w:val="006A6637"/>
    <w:rsid w:val="006A697B"/>
    <w:rsid w:val="006A7AFF"/>
    <w:rsid w:val="006B0BB5"/>
    <w:rsid w:val="006B1816"/>
    <w:rsid w:val="006B2099"/>
    <w:rsid w:val="006B3C4A"/>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253"/>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287E"/>
    <w:rsid w:val="00726EA6"/>
    <w:rsid w:val="00727208"/>
    <w:rsid w:val="00727680"/>
    <w:rsid w:val="007348B1"/>
    <w:rsid w:val="00735268"/>
    <w:rsid w:val="00735848"/>
    <w:rsid w:val="007362A6"/>
    <w:rsid w:val="00736D7D"/>
    <w:rsid w:val="00740E58"/>
    <w:rsid w:val="0074405F"/>
    <w:rsid w:val="0074428B"/>
    <w:rsid w:val="007445A0"/>
    <w:rsid w:val="007448AD"/>
    <w:rsid w:val="0074524B"/>
    <w:rsid w:val="00745B2B"/>
    <w:rsid w:val="00747D8B"/>
    <w:rsid w:val="007508A2"/>
    <w:rsid w:val="00751228"/>
    <w:rsid w:val="00752407"/>
    <w:rsid w:val="00754FD1"/>
    <w:rsid w:val="007571BD"/>
    <w:rsid w:val="007571E1"/>
    <w:rsid w:val="00757C14"/>
    <w:rsid w:val="00760076"/>
    <w:rsid w:val="007604B2"/>
    <w:rsid w:val="00765281"/>
    <w:rsid w:val="00766BAD"/>
    <w:rsid w:val="0076708C"/>
    <w:rsid w:val="007755F2"/>
    <w:rsid w:val="00776971"/>
    <w:rsid w:val="0078177E"/>
    <w:rsid w:val="0078304C"/>
    <w:rsid w:val="007833D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6CE4"/>
    <w:rsid w:val="007A7467"/>
    <w:rsid w:val="007B3D2D"/>
    <w:rsid w:val="007B50AE"/>
    <w:rsid w:val="007B51DF"/>
    <w:rsid w:val="007B6C81"/>
    <w:rsid w:val="007C05DD"/>
    <w:rsid w:val="007C1298"/>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56B"/>
    <w:rsid w:val="007E1DEB"/>
    <w:rsid w:val="007E4275"/>
    <w:rsid w:val="007E4610"/>
    <w:rsid w:val="007E4715"/>
    <w:rsid w:val="007E505B"/>
    <w:rsid w:val="007E6474"/>
    <w:rsid w:val="007E7091"/>
    <w:rsid w:val="007E72FE"/>
    <w:rsid w:val="007E784D"/>
    <w:rsid w:val="007F60D8"/>
    <w:rsid w:val="007F61DA"/>
    <w:rsid w:val="00803FAE"/>
    <w:rsid w:val="0080520E"/>
    <w:rsid w:val="00805FB7"/>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0B0B"/>
    <w:rsid w:val="008426A4"/>
    <w:rsid w:val="008444E8"/>
    <w:rsid w:val="00844E80"/>
    <w:rsid w:val="00846FE7"/>
    <w:rsid w:val="00852B98"/>
    <w:rsid w:val="00854749"/>
    <w:rsid w:val="00854EBD"/>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4CE"/>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15B"/>
    <w:rsid w:val="008E3BC6"/>
    <w:rsid w:val="008E5915"/>
    <w:rsid w:val="008F1C63"/>
    <w:rsid w:val="008F1EAB"/>
    <w:rsid w:val="008F3286"/>
    <w:rsid w:val="008F33DC"/>
    <w:rsid w:val="008F477F"/>
    <w:rsid w:val="008F523A"/>
    <w:rsid w:val="008F58A4"/>
    <w:rsid w:val="0090163B"/>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253"/>
    <w:rsid w:val="00917CE9"/>
    <w:rsid w:val="00920BF2"/>
    <w:rsid w:val="00922010"/>
    <w:rsid w:val="00924713"/>
    <w:rsid w:val="00927915"/>
    <w:rsid w:val="00931363"/>
    <w:rsid w:val="00931BD9"/>
    <w:rsid w:val="009320A3"/>
    <w:rsid w:val="00934504"/>
    <w:rsid w:val="0093523B"/>
    <w:rsid w:val="009368F3"/>
    <w:rsid w:val="00941636"/>
    <w:rsid w:val="0094257F"/>
    <w:rsid w:val="00942992"/>
    <w:rsid w:val="00943742"/>
    <w:rsid w:val="009437E8"/>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679F6"/>
    <w:rsid w:val="009717F5"/>
    <w:rsid w:val="00971F08"/>
    <w:rsid w:val="00972ED7"/>
    <w:rsid w:val="00973D7F"/>
    <w:rsid w:val="00973FAC"/>
    <w:rsid w:val="0097603D"/>
    <w:rsid w:val="00976949"/>
    <w:rsid w:val="00980477"/>
    <w:rsid w:val="0098209F"/>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0FF4"/>
    <w:rsid w:val="009B1F30"/>
    <w:rsid w:val="009B2A05"/>
    <w:rsid w:val="009B3AC2"/>
    <w:rsid w:val="009B4DF4"/>
    <w:rsid w:val="009B564E"/>
    <w:rsid w:val="009B7E87"/>
    <w:rsid w:val="009C183D"/>
    <w:rsid w:val="009C26E0"/>
    <w:rsid w:val="009C403E"/>
    <w:rsid w:val="009D28AD"/>
    <w:rsid w:val="009D38B6"/>
    <w:rsid w:val="009D4A89"/>
    <w:rsid w:val="009D4FF0"/>
    <w:rsid w:val="009D703C"/>
    <w:rsid w:val="009D718F"/>
    <w:rsid w:val="009D71A1"/>
    <w:rsid w:val="009E068F"/>
    <w:rsid w:val="009E14E0"/>
    <w:rsid w:val="009E35DB"/>
    <w:rsid w:val="009E3686"/>
    <w:rsid w:val="009E38C8"/>
    <w:rsid w:val="009E47A3"/>
    <w:rsid w:val="009F08F3"/>
    <w:rsid w:val="009F344F"/>
    <w:rsid w:val="009F38A6"/>
    <w:rsid w:val="009F7EC6"/>
    <w:rsid w:val="00A017B9"/>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6575"/>
    <w:rsid w:val="00A27785"/>
    <w:rsid w:val="00A30187"/>
    <w:rsid w:val="00A310FE"/>
    <w:rsid w:val="00A31C10"/>
    <w:rsid w:val="00A33683"/>
    <w:rsid w:val="00A3397B"/>
    <w:rsid w:val="00A3448A"/>
    <w:rsid w:val="00A34FB4"/>
    <w:rsid w:val="00A35E80"/>
    <w:rsid w:val="00A36297"/>
    <w:rsid w:val="00A370CA"/>
    <w:rsid w:val="00A3793A"/>
    <w:rsid w:val="00A40E0D"/>
    <w:rsid w:val="00A41BBD"/>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0008"/>
    <w:rsid w:val="00AE27AC"/>
    <w:rsid w:val="00AE367A"/>
    <w:rsid w:val="00AE40E0"/>
    <w:rsid w:val="00AE4DBA"/>
    <w:rsid w:val="00AE4F07"/>
    <w:rsid w:val="00AE6B10"/>
    <w:rsid w:val="00AE7C50"/>
    <w:rsid w:val="00AF16F1"/>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0C4"/>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C0FDC"/>
    <w:rsid w:val="00BC1BA9"/>
    <w:rsid w:val="00BC2B42"/>
    <w:rsid w:val="00BC3053"/>
    <w:rsid w:val="00BC4D2E"/>
    <w:rsid w:val="00BC6FD2"/>
    <w:rsid w:val="00BC7DBF"/>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37C75"/>
    <w:rsid w:val="00C45B86"/>
    <w:rsid w:val="00C4713E"/>
    <w:rsid w:val="00C47F47"/>
    <w:rsid w:val="00C52284"/>
    <w:rsid w:val="00C54995"/>
    <w:rsid w:val="00C54D41"/>
    <w:rsid w:val="00C57565"/>
    <w:rsid w:val="00C60783"/>
    <w:rsid w:val="00C613D3"/>
    <w:rsid w:val="00C632A4"/>
    <w:rsid w:val="00C64672"/>
    <w:rsid w:val="00C652A9"/>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1DD0"/>
    <w:rsid w:val="00CC2011"/>
    <w:rsid w:val="00CC3EA0"/>
    <w:rsid w:val="00CC6056"/>
    <w:rsid w:val="00CC744D"/>
    <w:rsid w:val="00CC7B45"/>
    <w:rsid w:val="00CD1188"/>
    <w:rsid w:val="00CD127A"/>
    <w:rsid w:val="00CD2898"/>
    <w:rsid w:val="00CD2ED1"/>
    <w:rsid w:val="00CD337B"/>
    <w:rsid w:val="00CD4940"/>
    <w:rsid w:val="00CD4A22"/>
    <w:rsid w:val="00CD6EB6"/>
    <w:rsid w:val="00CE0424"/>
    <w:rsid w:val="00CE3D86"/>
    <w:rsid w:val="00CE7561"/>
    <w:rsid w:val="00CE7B73"/>
    <w:rsid w:val="00CF1354"/>
    <w:rsid w:val="00CF1C85"/>
    <w:rsid w:val="00CF3B1F"/>
    <w:rsid w:val="00CF3BF6"/>
    <w:rsid w:val="00CF4576"/>
    <w:rsid w:val="00CF625B"/>
    <w:rsid w:val="00CF687E"/>
    <w:rsid w:val="00D00AE7"/>
    <w:rsid w:val="00D00C93"/>
    <w:rsid w:val="00D02330"/>
    <w:rsid w:val="00D0319E"/>
    <w:rsid w:val="00D0349B"/>
    <w:rsid w:val="00D05F28"/>
    <w:rsid w:val="00D10249"/>
    <w:rsid w:val="00D115C3"/>
    <w:rsid w:val="00D11897"/>
    <w:rsid w:val="00D11D12"/>
    <w:rsid w:val="00D13135"/>
    <w:rsid w:val="00D13E4E"/>
    <w:rsid w:val="00D20493"/>
    <w:rsid w:val="00D20D9B"/>
    <w:rsid w:val="00D218F9"/>
    <w:rsid w:val="00D239A7"/>
    <w:rsid w:val="00D23F47"/>
    <w:rsid w:val="00D26ABD"/>
    <w:rsid w:val="00D313BC"/>
    <w:rsid w:val="00D3140E"/>
    <w:rsid w:val="00D32A9B"/>
    <w:rsid w:val="00D36E71"/>
    <w:rsid w:val="00D3710F"/>
    <w:rsid w:val="00D37D87"/>
    <w:rsid w:val="00D40B33"/>
    <w:rsid w:val="00D421F2"/>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4DD5"/>
    <w:rsid w:val="00DA5417"/>
    <w:rsid w:val="00DA56E8"/>
    <w:rsid w:val="00DA6401"/>
    <w:rsid w:val="00DA67EE"/>
    <w:rsid w:val="00DB0A9F"/>
    <w:rsid w:val="00DB377D"/>
    <w:rsid w:val="00DB5CB6"/>
    <w:rsid w:val="00DB6176"/>
    <w:rsid w:val="00DC0FFB"/>
    <w:rsid w:val="00DC1C50"/>
    <w:rsid w:val="00DC2D36"/>
    <w:rsid w:val="00DC53EF"/>
    <w:rsid w:val="00DD1A15"/>
    <w:rsid w:val="00DD6051"/>
    <w:rsid w:val="00DD6BE3"/>
    <w:rsid w:val="00DD6CA7"/>
    <w:rsid w:val="00DD75F9"/>
    <w:rsid w:val="00DE3BDB"/>
    <w:rsid w:val="00DE4748"/>
    <w:rsid w:val="00DE5608"/>
    <w:rsid w:val="00DE58D0"/>
    <w:rsid w:val="00DE654F"/>
    <w:rsid w:val="00DE7FA4"/>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C73"/>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44A9"/>
    <w:rsid w:val="00EC5653"/>
    <w:rsid w:val="00EC71CE"/>
    <w:rsid w:val="00ED05CC"/>
    <w:rsid w:val="00ED1006"/>
    <w:rsid w:val="00ED1628"/>
    <w:rsid w:val="00ED1D84"/>
    <w:rsid w:val="00ED2AAD"/>
    <w:rsid w:val="00ED2B7C"/>
    <w:rsid w:val="00ED44FC"/>
    <w:rsid w:val="00ED7D94"/>
    <w:rsid w:val="00EE509D"/>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4E7F"/>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3AF"/>
    <w:rsid w:val="00F564F0"/>
    <w:rsid w:val="00F57AB4"/>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3DEA"/>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character" w:customStyle="1" w:styleId="HeaderChar">
    <w:name w:val="Header Char"/>
    <w:aliases w:val="header odd Char"/>
    <w:basedOn w:val="DefaultParagraphFont"/>
    <w:link w:val="Header"/>
    <w:rsid w:val="007C1298"/>
    <w:rPr>
      <w:rFonts w:ascii="Arial" w:hAnsi="Arial" w:cs="Arial"/>
      <w:b/>
      <w:bCs/>
      <w:noProof/>
      <w:sz w:val="18"/>
      <w:szCs w:val="18"/>
      <w:lang w:eastAsia="zh-CN"/>
    </w:rPr>
  </w:style>
  <w:style w:type="paragraph" w:customStyle="1" w:styleId="Doc-text2">
    <w:name w:val="Doc-text2"/>
    <w:basedOn w:val="Normal"/>
    <w:link w:val="Doc-text2Char"/>
    <w:qFormat/>
    <w:rsid w:val="00735848"/>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73584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82957619">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CDC9EC-B569-4B09-A46F-8569788B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TotalTime>
  <Pages>3</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Majmundar, Milap</cp:lastModifiedBy>
  <cp:revision>9</cp:revision>
  <cp:lastPrinted>2016-04-26T13:29:00Z</cp:lastPrinted>
  <dcterms:created xsi:type="dcterms:W3CDTF">2017-09-28T18:13:00Z</dcterms:created>
  <dcterms:modified xsi:type="dcterms:W3CDTF">2017-09-29T04:23:00Z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